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9" w:rsidRDefault="00597D39" w:rsidP="00BF6619">
      <w:pPr>
        <w:jc w:val="center"/>
        <w:rPr>
          <w:b/>
        </w:rPr>
      </w:pPr>
      <w:bookmarkStart w:id="0" w:name="_GoBack"/>
      <w:bookmarkEnd w:id="0"/>
      <w:r>
        <w:rPr>
          <w:b/>
        </w:rPr>
        <w:t>CMAC BOARD MEETING MINUTES</w:t>
      </w:r>
      <w:r>
        <w:rPr>
          <w:b/>
        </w:rPr>
        <w:br/>
        <w:t>Monday</w:t>
      </w:r>
      <w:r w:rsidR="00A3540D">
        <w:rPr>
          <w:b/>
        </w:rPr>
        <w:t xml:space="preserve"> </w:t>
      </w:r>
      <w:r w:rsidR="00A96C37">
        <w:rPr>
          <w:b/>
        </w:rPr>
        <w:t>October 17</w:t>
      </w:r>
      <w:r w:rsidR="00C95274">
        <w:rPr>
          <w:b/>
        </w:rPr>
        <w:t xml:space="preserve">, </w:t>
      </w:r>
      <w:r>
        <w:rPr>
          <w:b/>
        </w:rPr>
        <w:t>2011 at 6 p.m</w:t>
      </w:r>
      <w:proofErr w:type="gramStart"/>
      <w:r>
        <w:rPr>
          <w:b/>
        </w:rPr>
        <w:t>.</w:t>
      </w:r>
      <w:proofErr w:type="gramEnd"/>
      <w:r>
        <w:rPr>
          <w:b/>
        </w:rPr>
        <w:br/>
        <w:t xml:space="preserve">Yankee Diner, </w:t>
      </w:r>
      <w:smartTag w:uri="urn:schemas-microsoft-com:office:smarttags" w:element="place">
        <w:smartTag w:uri="urn:schemas-microsoft-com:office:smarttags" w:element="City">
          <w:r>
            <w:rPr>
              <w:b/>
            </w:rPr>
            <w:t>Renton</w:t>
          </w:r>
        </w:smartTag>
      </w:smartTag>
    </w:p>
    <w:p w:rsidR="00597D39" w:rsidRDefault="00597D39" w:rsidP="00BF6619">
      <w:r>
        <w:rPr>
          <w:b/>
          <w:u w:val="single"/>
        </w:rPr>
        <w:t>Present</w:t>
      </w:r>
      <w:r>
        <w:rPr>
          <w:b/>
        </w:rPr>
        <w:t xml:space="preserve">: </w:t>
      </w:r>
      <w:r>
        <w:t>Jeff Kray, Dan Greenshields, Craig Reininger, Andy Cooley, Stein Dolan,</w:t>
      </w:r>
      <w:r w:rsidRPr="0035156A">
        <w:t xml:space="preserve"> </w:t>
      </w:r>
      <w:r>
        <w:t>Duane Stone,</w:t>
      </w:r>
      <w:r w:rsidRPr="002A10FC">
        <w:t xml:space="preserve"> </w:t>
      </w:r>
      <w:r>
        <w:t>Angela Niemann</w:t>
      </w:r>
      <w:r w:rsidR="00C95274">
        <w:t>,</w:t>
      </w:r>
      <w:r w:rsidR="00C95274" w:rsidRPr="0035156A">
        <w:t xml:space="preserve"> </w:t>
      </w:r>
      <w:r w:rsidR="00C95274">
        <w:t>Fred Wurden</w:t>
      </w:r>
      <w:r w:rsidR="00CF6226">
        <w:t>, Marne Osborne</w:t>
      </w:r>
    </w:p>
    <w:p w:rsidR="00597D39" w:rsidRDefault="00597D39" w:rsidP="00BF6619">
      <w:r>
        <w:rPr>
          <w:b/>
          <w:u w:val="single"/>
        </w:rPr>
        <w:t>Absent</w:t>
      </w:r>
      <w:r>
        <w:rPr>
          <w:b/>
        </w:rPr>
        <w:t>:</w:t>
      </w:r>
      <w:r w:rsidR="00CF6226">
        <w:t xml:space="preserve"> </w:t>
      </w:r>
      <w:r w:rsidR="00A96C37">
        <w:t xml:space="preserve">Bill Koefoed, Brian Dennehy, </w:t>
      </w:r>
      <w:r w:rsidR="00F42D31">
        <w:t>Steve Sundberg</w:t>
      </w:r>
      <w:r w:rsidR="00AE75BF">
        <w:t>, Sarah Fisken</w:t>
      </w:r>
    </w:p>
    <w:p w:rsidR="00597D39" w:rsidRDefault="00597D39" w:rsidP="00BF6619">
      <w:r w:rsidRPr="00BF6619">
        <w:rPr>
          <w:b/>
          <w:u w:val="single"/>
        </w:rPr>
        <w:t>Ex Officio Members present</w:t>
      </w:r>
      <w:r>
        <w:t xml:space="preserve">:  Alan Lauba, Kari </w:t>
      </w:r>
      <w:r w:rsidR="00BE5A66">
        <w:t>Hensien</w:t>
      </w:r>
      <w:r w:rsidR="00BE5A66" w:rsidRPr="00C95274">
        <w:t>,</w:t>
      </w:r>
      <w:r w:rsidR="00C95274">
        <w:t xml:space="preserve"> </w:t>
      </w:r>
      <w:r w:rsidR="00A96C37">
        <w:t>Lynne Bielaski</w:t>
      </w:r>
    </w:p>
    <w:p w:rsidR="00597D39" w:rsidRDefault="00597D39" w:rsidP="00BF6619">
      <w:r>
        <w:rPr>
          <w:b/>
          <w:u w:val="single"/>
        </w:rPr>
        <w:t>Ex Officio Members absent</w:t>
      </w:r>
      <w:r>
        <w:rPr>
          <w:b/>
        </w:rPr>
        <w:t xml:space="preserve">: </w:t>
      </w:r>
      <w:r w:rsidR="00F42D31">
        <w:rPr>
          <w:b/>
        </w:rPr>
        <w:t xml:space="preserve"> </w:t>
      </w:r>
      <w:r w:rsidR="00F42D31" w:rsidRPr="00C931B0">
        <w:t>April Hicks</w:t>
      </w:r>
    </w:p>
    <w:p w:rsidR="008850A2" w:rsidRDefault="00597D39" w:rsidP="00BF6619">
      <w:pPr>
        <w:rPr>
          <w:b/>
          <w:u w:val="single"/>
        </w:rPr>
      </w:pPr>
      <w:r>
        <w:rPr>
          <w:b/>
          <w:u w:val="single"/>
        </w:rPr>
        <w:t xml:space="preserve">Approval of minutes from </w:t>
      </w:r>
      <w:r w:rsidR="00A96C37">
        <w:rPr>
          <w:b/>
          <w:u w:val="single"/>
        </w:rPr>
        <w:t>September 19</w:t>
      </w:r>
      <w:r w:rsidR="00A96C37" w:rsidRPr="00F42D31">
        <w:rPr>
          <w:b/>
          <w:u w:val="single"/>
          <w:vertAlign w:val="superscript"/>
        </w:rPr>
        <w:t>th</w:t>
      </w:r>
      <w:r w:rsidR="00A96C37">
        <w:rPr>
          <w:b/>
          <w:u w:val="single"/>
        </w:rPr>
        <w:t>, 2011</w:t>
      </w:r>
    </w:p>
    <w:p w:rsidR="00597D39" w:rsidRDefault="00597D39" w:rsidP="00BF6619">
      <w:r w:rsidRPr="00246867">
        <w:rPr>
          <w:b/>
        </w:rPr>
        <w:t>Motion</w:t>
      </w:r>
      <w:r>
        <w:t xml:space="preserve"> </w:t>
      </w:r>
      <w:r w:rsidR="00324B28">
        <w:rPr>
          <w:b/>
        </w:rPr>
        <w:t>by F. Wurden 2</w:t>
      </w:r>
      <w:r w:rsidR="00324B28" w:rsidRPr="00841CE2">
        <w:rPr>
          <w:b/>
          <w:vertAlign w:val="superscript"/>
        </w:rPr>
        <w:t>nd</w:t>
      </w:r>
      <w:r w:rsidR="00324B28">
        <w:rPr>
          <w:b/>
        </w:rPr>
        <w:t xml:space="preserve"> by D. Greenshields </w:t>
      </w:r>
      <w:r w:rsidR="00324B28" w:rsidRPr="00F30909">
        <w:t xml:space="preserve">for approval </w:t>
      </w:r>
    </w:p>
    <w:p w:rsidR="00597D39" w:rsidRDefault="00597D39" w:rsidP="00BF6619">
      <w:r>
        <w:t>Approved unanimous.</w:t>
      </w:r>
    </w:p>
    <w:p w:rsidR="00A96C37" w:rsidRDefault="00A96C37" w:rsidP="00A96C37">
      <w:r>
        <w:rPr>
          <w:b/>
          <w:u w:val="single"/>
        </w:rPr>
        <w:t>President’s Report</w:t>
      </w:r>
      <w:r>
        <w:rPr>
          <w:u w:val="single"/>
        </w:rPr>
        <w:t xml:space="preserve"> </w:t>
      </w:r>
      <w:r>
        <w:rPr>
          <w:b/>
          <w:u w:val="single"/>
        </w:rPr>
        <w:t>– Jeff Kray</w:t>
      </w:r>
    </w:p>
    <w:p w:rsidR="00A96C37" w:rsidRDefault="00555237" w:rsidP="00A96C37">
      <w:r>
        <w:t>Alan’</w:t>
      </w:r>
      <w:r w:rsidR="00A96C37">
        <w:t>s contract is executed and complete.  We also received the PNSA coaching salary benchmarking, Jeff provided a summary of where CMAC coaches land on the survey.</w:t>
      </w:r>
    </w:p>
    <w:p w:rsidR="00A96C37" w:rsidRDefault="00555237" w:rsidP="00A96C37">
      <w:r>
        <w:t xml:space="preserve">Louie </w:t>
      </w:r>
      <w:proofErr w:type="spellStart"/>
      <w:r>
        <w:t>Laffranie</w:t>
      </w:r>
      <w:proofErr w:type="spellEnd"/>
      <w:r>
        <w:t xml:space="preserve"> </w:t>
      </w:r>
      <w:r w:rsidR="00A96C37">
        <w:t xml:space="preserve">has </w:t>
      </w:r>
      <w:r>
        <w:t>accepted</w:t>
      </w:r>
      <w:r w:rsidR="00A96C37">
        <w:t xml:space="preserve"> the CMAC position of race admin.  The PNSA </w:t>
      </w:r>
      <w:proofErr w:type="gramStart"/>
      <w:r w:rsidR="00A96C37">
        <w:t>officials tra</w:t>
      </w:r>
      <w:r>
        <w:t>ining is</w:t>
      </w:r>
      <w:proofErr w:type="gramEnd"/>
      <w:r>
        <w:t xml:space="preserve"> Sunday November</w:t>
      </w:r>
      <w:r w:rsidR="00A96C37">
        <w:t xml:space="preserve"> 6</w:t>
      </w:r>
      <w:r w:rsidR="00A96C37" w:rsidRPr="00F42D31">
        <w:rPr>
          <w:vertAlign w:val="superscript"/>
        </w:rPr>
        <w:t>th</w:t>
      </w:r>
      <w:r w:rsidR="00A96C37">
        <w:t xml:space="preserve"> at Microsoft campus.</w:t>
      </w:r>
      <w:r>
        <w:t xml:space="preserve">  Kari will send a blast reminder.</w:t>
      </w:r>
    </w:p>
    <w:p w:rsidR="00CF6226" w:rsidRDefault="00CF6226" w:rsidP="00A96C37">
      <w:proofErr w:type="gramStart"/>
      <w:r>
        <w:t>Will send the Mountain Concession agreement when we get it from Crystal.</w:t>
      </w:r>
      <w:proofErr w:type="gramEnd"/>
    </w:p>
    <w:p w:rsidR="00CF6226" w:rsidRDefault="00597D39" w:rsidP="00BF6619">
      <w:pPr>
        <w:rPr>
          <w:b/>
          <w:u w:val="single"/>
        </w:rPr>
      </w:pPr>
      <w:r>
        <w:rPr>
          <w:b/>
          <w:u w:val="single"/>
        </w:rPr>
        <w:t>Director’s Report – Alan Lauba</w:t>
      </w:r>
    </w:p>
    <w:p w:rsidR="00C931B0" w:rsidRDefault="00BE5A66" w:rsidP="00BF6619">
      <w:r>
        <w:rPr>
          <w:b/>
        </w:rPr>
        <w:t xml:space="preserve">Planning and </w:t>
      </w:r>
      <w:r w:rsidR="000F1DA7">
        <w:rPr>
          <w:b/>
        </w:rPr>
        <w:t>Pre-Season meetings</w:t>
      </w:r>
      <w:r w:rsidR="000F1DA7" w:rsidRPr="00CF6226">
        <w:t>:</w:t>
      </w:r>
      <w:r w:rsidRPr="00CF6226">
        <w:t xml:space="preserve"> </w:t>
      </w:r>
      <w:r w:rsidR="00A96C37" w:rsidRPr="00CF6226">
        <w:t>Coaches meeting on November 6</w:t>
      </w:r>
      <w:r w:rsidR="00A96C37" w:rsidRPr="00CF6226">
        <w:rPr>
          <w:vertAlign w:val="superscript"/>
        </w:rPr>
        <w:t>th</w:t>
      </w:r>
      <w:r w:rsidR="00A96C37" w:rsidRPr="00CF6226">
        <w:t xml:space="preserve"> in addition to the PNSA officials training.   </w:t>
      </w:r>
      <w:proofErr w:type="gramStart"/>
      <w:r w:rsidR="00A96C37" w:rsidRPr="00CF6226">
        <w:t>Skills test looking at January 28</w:t>
      </w:r>
      <w:r w:rsidR="00A96C37" w:rsidRPr="00CF6226">
        <w:rPr>
          <w:vertAlign w:val="superscript"/>
        </w:rPr>
        <w:t>th</w:t>
      </w:r>
      <w:r w:rsidR="00A96C37" w:rsidRPr="00CF6226">
        <w:t>.</w:t>
      </w:r>
      <w:proofErr w:type="gramEnd"/>
      <w:r w:rsidR="00CF6226">
        <w:rPr>
          <w:b/>
        </w:rPr>
        <w:t xml:space="preserve"> </w:t>
      </w:r>
      <w:r w:rsidR="00597D39" w:rsidRPr="002A10FC">
        <w:rPr>
          <w:b/>
        </w:rPr>
        <w:t>Coaching</w:t>
      </w:r>
      <w:r w:rsidR="00597D39" w:rsidRPr="00290812">
        <w:t xml:space="preserve"> </w:t>
      </w:r>
      <w:r w:rsidR="00597D39">
        <w:t xml:space="preserve">- </w:t>
      </w:r>
      <w:r w:rsidR="00597D39" w:rsidRPr="00290812">
        <w:rPr>
          <w:b/>
        </w:rPr>
        <w:t>Staffing</w:t>
      </w:r>
      <w:r w:rsidR="00597D39">
        <w:rPr>
          <w:b/>
        </w:rPr>
        <w:t>:</w:t>
      </w:r>
      <w:r w:rsidR="00597D39">
        <w:t xml:space="preserve"> Alan provided an update </w:t>
      </w:r>
      <w:r w:rsidR="000F1DA7">
        <w:t>current coaching</w:t>
      </w:r>
      <w:r w:rsidR="00CF6226">
        <w:t xml:space="preserve"> </w:t>
      </w:r>
      <w:r w:rsidR="00A96C37">
        <w:t>we have lots of interest in coaching positions.  Matt H</w:t>
      </w:r>
      <w:r w:rsidR="008850A2">
        <w:t>a</w:t>
      </w:r>
      <w:r w:rsidR="00A96C37">
        <w:t>mmond has confirmed t</w:t>
      </w:r>
      <w:r w:rsidR="00CF6226">
        <w:t xml:space="preserve">hat he cannot be full time due </w:t>
      </w:r>
      <w:r w:rsidR="00A96C37">
        <w:t xml:space="preserve">to new Job.  </w:t>
      </w:r>
      <w:r w:rsidR="00C15DC2">
        <w:t xml:space="preserve">. </w:t>
      </w:r>
      <w:r w:rsidR="00597D39">
        <w:rPr>
          <w:b/>
        </w:rPr>
        <w:t>Camps and Training:</w:t>
      </w:r>
      <w:r w:rsidR="00597D39">
        <w:t xml:space="preserve"> Dryland training</w:t>
      </w:r>
      <w:r w:rsidR="00C931B0">
        <w:t xml:space="preserve"> </w:t>
      </w:r>
      <w:r w:rsidR="00CF6226">
        <w:t xml:space="preserve">ending next week. </w:t>
      </w:r>
      <w:r w:rsidR="00597D39">
        <w:t xml:space="preserve"> Other camps:  Colorado camp on November 8</w:t>
      </w:r>
      <w:r w:rsidR="00597D39" w:rsidRPr="00CF6A90">
        <w:rPr>
          <w:vertAlign w:val="superscript"/>
        </w:rPr>
        <w:t>th</w:t>
      </w:r>
      <w:r w:rsidR="00597D39">
        <w:t>-14</w:t>
      </w:r>
      <w:r w:rsidR="00597D39" w:rsidRPr="00CF6A90">
        <w:rPr>
          <w:vertAlign w:val="superscript"/>
        </w:rPr>
        <w:t>th</w:t>
      </w:r>
      <w:r w:rsidR="00597D39">
        <w:t>, and Sun Peaks November 25</w:t>
      </w:r>
      <w:r w:rsidR="00597D39" w:rsidRPr="00CF6A90">
        <w:rPr>
          <w:vertAlign w:val="superscript"/>
        </w:rPr>
        <w:t>th</w:t>
      </w:r>
      <w:r w:rsidR="00597D39">
        <w:t>-29</w:t>
      </w:r>
      <w:r w:rsidR="00597D39" w:rsidRPr="00CF6A90">
        <w:rPr>
          <w:vertAlign w:val="superscript"/>
        </w:rPr>
        <w:t>th</w:t>
      </w:r>
      <w:r w:rsidR="00597D39">
        <w:t xml:space="preserve">.  </w:t>
      </w:r>
      <w:r w:rsidR="00597D39" w:rsidRPr="00290812">
        <w:rPr>
          <w:b/>
        </w:rPr>
        <w:t>Mountain:</w:t>
      </w:r>
      <w:r w:rsidR="00597D39">
        <w:t xml:space="preserve"> </w:t>
      </w:r>
      <w:r w:rsidR="00597D39">
        <w:rPr>
          <w:b/>
        </w:rPr>
        <w:t xml:space="preserve">Equipment: </w:t>
      </w:r>
      <w:r>
        <w:rPr>
          <w:b/>
        </w:rPr>
        <w:t xml:space="preserve"> </w:t>
      </w:r>
      <w:r w:rsidR="00F42D31">
        <w:t>Radios</w:t>
      </w:r>
      <w:r w:rsidR="00C931B0">
        <w:t xml:space="preserve"> some of the radios are not functioning however most were returned. It is a good Idea each year to replace some of the older radios with new units.</w:t>
      </w:r>
      <w:r w:rsidR="00555237">
        <w:t xml:space="preserve"> </w:t>
      </w:r>
      <w:proofErr w:type="gramStart"/>
      <w:r w:rsidR="00C931B0">
        <w:t>Will provide a wireless timing update next meeting.</w:t>
      </w:r>
      <w:proofErr w:type="gramEnd"/>
    </w:p>
    <w:p w:rsidR="008850A2" w:rsidRDefault="008850A2" w:rsidP="008850A2">
      <w:pPr>
        <w:rPr>
          <w:b/>
        </w:rPr>
      </w:pPr>
      <w:r>
        <w:rPr>
          <w:b/>
        </w:rPr>
        <w:t xml:space="preserve">Motion by </w:t>
      </w:r>
      <w:proofErr w:type="spellStart"/>
      <w:r>
        <w:rPr>
          <w:b/>
        </w:rPr>
        <w:t>by</w:t>
      </w:r>
      <w:proofErr w:type="spellEnd"/>
      <w:r>
        <w:rPr>
          <w:b/>
        </w:rPr>
        <w:t xml:space="preserve"> D. Greenshields 2</w:t>
      </w:r>
      <w:r w:rsidRPr="00C931B0">
        <w:rPr>
          <w:b/>
          <w:vertAlign w:val="superscript"/>
        </w:rPr>
        <w:t>nd</w:t>
      </w:r>
      <w:r>
        <w:rPr>
          <w:b/>
        </w:rPr>
        <w:t xml:space="preserve"> by A. </w:t>
      </w:r>
      <w:proofErr w:type="gramStart"/>
      <w:r>
        <w:rPr>
          <w:b/>
        </w:rPr>
        <w:t xml:space="preserve">Cooley </w:t>
      </w:r>
      <w:r w:rsidR="00555237">
        <w:rPr>
          <w:b/>
        </w:rPr>
        <w:t xml:space="preserve"> </w:t>
      </w:r>
      <w:r w:rsidRPr="00F30909">
        <w:t>for</w:t>
      </w:r>
      <w:proofErr w:type="gramEnd"/>
      <w:r w:rsidRPr="00F30909">
        <w:t xml:space="preserve"> approval </w:t>
      </w:r>
      <w:r w:rsidR="00C931B0">
        <w:t xml:space="preserve">Purchase of up to six new coaching radios for $1,200.  </w:t>
      </w:r>
    </w:p>
    <w:p w:rsidR="008850A2" w:rsidRDefault="008850A2" w:rsidP="008850A2">
      <w:pPr>
        <w:rPr>
          <w:b/>
        </w:rPr>
      </w:pPr>
      <w:r>
        <w:rPr>
          <w:b/>
        </w:rPr>
        <w:t>Motion passed unanimously</w:t>
      </w:r>
    </w:p>
    <w:p w:rsidR="008850A2" w:rsidRDefault="008850A2" w:rsidP="00BF6619"/>
    <w:p w:rsidR="00597D39" w:rsidRDefault="00597D39" w:rsidP="00BF6619">
      <w:r>
        <w:rPr>
          <w:b/>
          <w:u w:val="single"/>
        </w:rPr>
        <w:t xml:space="preserve">Program Administrator </w:t>
      </w:r>
      <w:proofErr w:type="gramStart"/>
      <w:r>
        <w:rPr>
          <w:b/>
          <w:u w:val="single"/>
        </w:rPr>
        <w:t xml:space="preserve">Report </w:t>
      </w:r>
      <w:r w:rsidR="00312683">
        <w:t xml:space="preserve"> </w:t>
      </w:r>
      <w:r w:rsidR="00F02890">
        <w:t>An</w:t>
      </w:r>
      <w:proofErr w:type="gramEnd"/>
      <w:r w:rsidR="00F02890">
        <w:t xml:space="preserve"> update was sent and tabled showing current registrations, All prices increased by $100 on October 15</w:t>
      </w:r>
      <w:r w:rsidR="00F02890" w:rsidRPr="00F02890">
        <w:t>th</w:t>
      </w:r>
    </w:p>
    <w:p w:rsidR="00F02890" w:rsidRPr="00F02890" w:rsidRDefault="00F02890" w:rsidP="00F02890">
      <w:r w:rsidRPr="00F02890">
        <w:lastRenderedPageBreak/>
        <w:br/>
        <w:t> </w:t>
      </w:r>
      <w:r w:rsidRPr="00F02890">
        <w:br/>
        <w:t>Summary of Registrations as of 10/17/2011:</w:t>
      </w:r>
    </w:p>
    <w:tbl>
      <w:tblPr>
        <w:tblW w:w="7700" w:type="dxa"/>
        <w:tblCellMar>
          <w:left w:w="0" w:type="dxa"/>
          <w:right w:w="0" w:type="dxa"/>
        </w:tblCellMar>
        <w:tblLook w:val="04A0" w:firstRow="1" w:lastRow="0" w:firstColumn="1" w:lastColumn="0" w:noHBand="0" w:noVBand="1"/>
      </w:tblPr>
      <w:tblGrid>
        <w:gridCol w:w="960"/>
        <w:gridCol w:w="1300"/>
        <w:gridCol w:w="1740"/>
        <w:gridCol w:w="1920"/>
        <w:gridCol w:w="1780"/>
      </w:tblGrid>
      <w:tr w:rsidR="00F02890" w:rsidTr="00F02890">
        <w:trPr>
          <w:trHeight w:val="315"/>
        </w:trPr>
        <w:tc>
          <w:tcPr>
            <w:tcW w:w="960" w:type="dxa"/>
            <w:tcBorders>
              <w:top w:val="single" w:sz="8" w:space="0" w:color="auto"/>
              <w:left w:val="single" w:sz="8" w:space="0" w:color="auto"/>
              <w:bottom w:val="nil"/>
              <w:right w:val="nil"/>
            </w:tcBorders>
            <w:vAlign w:val="center"/>
            <w:hideMark/>
          </w:tcPr>
          <w:p w:rsidR="00F02890" w:rsidRDefault="00F02890">
            <w:pPr>
              <w:rPr>
                <w:rFonts w:eastAsia="Times New Roman"/>
                <w:sz w:val="24"/>
                <w:szCs w:val="24"/>
              </w:rPr>
            </w:pPr>
            <w:r>
              <w:rPr>
                <w:rFonts w:eastAsia="Times New Roman" w:cs="Calibri"/>
              </w:rPr>
              <w:t> </w:t>
            </w:r>
          </w:p>
        </w:tc>
        <w:tc>
          <w:tcPr>
            <w:tcW w:w="1300" w:type="dxa"/>
            <w:tcBorders>
              <w:top w:val="single" w:sz="8" w:space="0" w:color="auto"/>
              <w:left w:val="nil"/>
              <w:bottom w:val="nil"/>
              <w:right w:val="nil"/>
            </w:tcBorders>
            <w:vAlign w:val="center"/>
            <w:hideMark/>
          </w:tcPr>
          <w:p w:rsidR="00F02890" w:rsidRDefault="00F02890">
            <w:pPr>
              <w:rPr>
                <w:rFonts w:eastAsia="Times New Roman"/>
                <w:sz w:val="24"/>
                <w:szCs w:val="24"/>
              </w:rPr>
            </w:pPr>
            <w:r>
              <w:rPr>
                <w:rFonts w:eastAsia="Times New Roman" w:cs="Calibri"/>
              </w:rPr>
              <w:t> </w:t>
            </w:r>
          </w:p>
        </w:tc>
        <w:tc>
          <w:tcPr>
            <w:tcW w:w="1740" w:type="dxa"/>
            <w:tcBorders>
              <w:top w:val="single" w:sz="8" w:space="0" w:color="auto"/>
              <w:left w:val="nil"/>
              <w:bottom w:val="nil"/>
              <w:right w:val="nil"/>
            </w:tcBorders>
            <w:vAlign w:val="center"/>
            <w:hideMark/>
          </w:tcPr>
          <w:p w:rsidR="00F02890" w:rsidRDefault="00F02890">
            <w:pPr>
              <w:rPr>
                <w:rFonts w:eastAsia="Times New Roman"/>
                <w:sz w:val="24"/>
                <w:szCs w:val="24"/>
              </w:rPr>
            </w:pPr>
            <w:r>
              <w:rPr>
                <w:rFonts w:eastAsia="Times New Roman" w:cs="Calibri"/>
              </w:rPr>
              <w:t> </w:t>
            </w:r>
          </w:p>
        </w:tc>
        <w:tc>
          <w:tcPr>
            <w:tcW w:w="1920" w:type="dxa"/>
            <w:tcBorders>
              <w:top w:val="single" w:sz="8" w:space="0" w:color="auto"/>
              <w:left w:val="nil"/>
              <w:bottom w:val="nil"/>
              <w:right w:val="nil"/>
            </w:tcBorders>
            <w:vAlign w:val="center"/>
            <w:hideMark/>
          </w:tcPr>
          <w:p w:rsidR="00F02890" w:rsidRDefault="00F02890">
            <w:pPr>
              <w:rPr>
                <w:rFonts w:eastAsia="Times New Roman"/>
                <w:sz w:val="24"/>
                <w:szCs w:val="24"/>
              </w:rPr>
            </w:pPr>
            <w:r>
              <w:rPr>
                <w:rFonts w:eastAsia="Times New Roman" w:cs="Calibri"/>
              </w:rPr>
              <w:t> </w:t>
            </w:r>
          </w:p>
        </w:tc>
        <w:tc>
          <w:tcPr>
            <w:tcW w:w="1780" w:type="dxa"/>
            <w:tcBorders>
              <w:top w:val="single" w:sz="8" w:space="0" w:color="auto"/>
              <w:left w:val="nil"/>
              <w:bottom w:val="nil"/>
              <w:right w:val="single" w:sz="8" w:space="0" w:color="auto"/>
            </w:tcBorders>
            <w:vAlign w:val="center"/>
            <w:hideMark/>
          </w:tcPr>
          <w:p w:rsidR="00F02890" w:rsidRDefault="00F02890">
            <w:pPr>
              <w:rPr>
                <w:rFonts w:eastAsia="Times New Roman"/>
                <w:sz w:val="24"/>
                <w:szCs w:val="24"/>
              </w:rPr>
            </w:pPr>
            <w:r>
              <w:rPr>
                <w:rFonts w:eastAsia="Times New Roman" w:cs="Calibri"/>
              </w:rPr>
              <w:t> </w:t>
            </w:r>
          </w:p>
        </w:tc>
      </w:tr>
      <w:tr w:rsidR="00F02890" w:rsidTr="00F02890">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F02890" w:rsidRDefault="00F02890">
            <w:pPr>
              <w:rPr>
                <w:rFonts w:eastAsia="Times New Roman"/>
                <w:sz w:val="24"/>
                <w:szCs w:val="24"/>
              </w:rPr>
            </w:pPr>
            <w:r>
              <w:rPr>
                <w:rFonts w:eastAsia="Times New Roman" w:cs="Calibri"/>
              </w:rPr>
              <w:t> </w:t>
            </w:r>
          </w:p>
        </w:tc>
        <w:tc>
          <w:tcPr>
            <w:tcW w:w="0" w:type="auto"/>
            <w:tcBorders>
              <w:top w:val="single" w:sz="8" w:space="0" w:color="auto"/>
              <w:left w:val="nil"/>
              <w:bottom w:val="single" w:sz="8" w:space="0" w:color="auto"/>
              <w:right w:val="single" w:sz="4" w:space="0" w:color="auto"/>
            </w:tcBorders>
            <w:vAlign w:val="center"/>
            <w:hideMark/>
          </w:tcPr>
          <w:p w:rsidR="00F02890" w:rsidRDefault="00F02890">
            <w:pPr>
              <w:rPr>
                <w:rFonts w:eastAsia="Times New Roman"/>
                <w:sz w:val="24"/>
                <w:szCs w:val="24"/>
              </w:rPr>
            </w:pPr>
            <w:r>
              <w:rPr>
                <w:rStyle w:val="Strong"/>
                <w:rFonts w:eastAsia="Times New Roman" w:cs="Calibri"/>
              </w:rPr>
              <w:t>Registered</w:t>
            </w:r>
          </w:p>
        </w:tc>
        <w:tc>
          <w:tcPr>
            <w:tcW w:w="0" w:type="auto"/>
            <w:tcBorders>
              <w:top w:val="single" w:sz="8" w:space="0" w:color="auto"/>
              <w:left w:val="nil"/>
              <w:bottom w:val="single" w:sz="8" w:space="0" w:color="auto"/>
              <w:right w:val="single" w:sz="4" w:space="0" w:color="auto"/>
            </w:tcBorders>
            <w:vAlign w:val="center"/>
            <w:hideMark/>
          </w:tcPr>
          <w:p w:rsidR="00F02890" w:rsidRDefault="00F02890">
            <w:pPr>
              <w:rPr>
                <w:rFonts w:eastAsia="Times New Roman"/>
                <w:sz w:val="24"/>
                <w:szCs w:val="24"/>
              </w:rPr>
            </w:pPr>
            <w:r>
              <w:rPr>
                <w:rStyle w:val="Strong"/>
                <w:rFonts w:eastAsia="Times New Roman" w:cs="Calibri"/>
              </w:rPr>
              <w:t>Pending Renewal</w:t>
            </w:r>
          </w:p>
        </w:tc>
        <w:tc>
          <w:tcPr>
            <w:tcW w:w="0" w:type="auto"/>
            <w:tcBorders>
              <w:top w:val="single" w:sz="8" w:space="0" w:color="auto"/>
              <w:left w:val="nil"/>
              <w:bottom w:val="single" w:sz="8" w:space="0" w:color="auto"/>
              <w:right w:val="nil"/>
            </w:tcBorders>
            <w:vAlign w:val="center"/>
            <w:hideMark/>
          </w:tcPr>
          <w:p w:rsidR="00F02890" w:rsidRDefault="00F02890">
            <w:pPr>
              <w:rPr>
                <w:rFonts w:eastAsia="Times New Roman"/>
                <w:sz w:val="24"/>
                <w:szCs w:val="24"/>
              </w:rPr>
            </w:pPr>
            <w:r>
              <w:rPr>
                <w:rStyle w:val="Strong"/>
                <w:rFonts w:eastAsia="Times New Roman" w:cs="Calibri"/>
              </w:rPr>
              <w:t>Renewal Overdue</w:t>
            </w:r>
          </w:p>
        </w:tc>
        <w:tc>
          <w:tcPr>
            <w:tcW w:w="0" w:type="auto"/>
            <w:tcBorders>
              <w:top w:val="single" w:sz="8" w:space="0" w:color="auto"/>
              <w:left w:val="single" w:sz="4" w:space="0" w:color="auto"/>
              <w:bottom w:val="single" w:sz="8" w:space="0" w:color="auto"/>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2010-2011</w:t>
            </w:r>
          </w:p>
        </w:tc>
      </w:tr>
      <w:tr w:rsidR="00F02890" w:rsidTr="00F02890">
        <w:trPr>
          <w:trHeight w:val="300"/>
        </w:trPr>
        <w:tc>
          <w:tcPr>
            <w:tcW w:w="0" w:type="auto"/>
            <w:tcBorders>
              <w:top w:val="nil"/>
              <w:left w:val="single" w:sz="8" w:space="0" w:color="auto"/>
              <w:bottom w:val="single" w:sz="4" w:space="0" w:color="auto"/>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Prep</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126</w:t>
            </w:r>
          </w:p>
        </w:tc>
        <w:tc>
          <w:tcPr>
            <w:tcW w:w="0" w:type="auto"/>
            <w:tcBorders>
              <w:top w:val="nil"/>
              <w:left w:val="nil"/>
              <w:bottom w:val="single" w:sz="4" w:space="0" w:color="auto"/>
              <w:right w:val="single" w:sz="4" w:space="0" w:color="auto"/>
            </w:tcBorders>
            <w:vAlign w:val="center"/>
            <w:hideMark/>
          </w:tcPr>
          <w:p w:rsidR="00F02890" w:rsidRDefault="00F02890">
            <w:pPr>
              <w:rPr>
                <w:rFonts w:eastAsia="Times New Roman"/>
                <w:sz w:val="24"/>
                <w:szCs w:val="24"/>
              </w:rPr>
            </w:pPr>
            <w:r>
              <w:rPr>
                <w:rFonts w:eastAsia="Times New Roman" w:cs="Calibri"/>
              </w:rPr>
              <w:t> </w:t>
            </w:r>
          </w:p>
        </w:tc>
        <w:tc>
          <w:tcPr>
            <w:tcW w:w="0" w:type="auto"/>
            <w:tcBorders>
              <w:top w:val="nil"/>
              <w:left w:val="nil"/>
              <w:bottom w:val="single" w:sz="4" w:space="0" w:color="auto"/>
              <w:right w:val="nil"/>
            </w:tcBorders>
            <w:vAlign w:val="center"/>
            <w:hideMark/>
          </w:tcPr>
          <w:p w:rsidR="00F02890" w:rsidRDefault="00F02890">
            <w:pPr>
              <w:jc w:val="right"/>
              <w:rPr>
                <w:rFonts w:eastAsia="Times New Roman"/>
                <w:sz w:val="24"/>
                <w:szCs w:val="24"/>
              </w:rPr>
            </w:pPr>
            <w:r>
              <w:rPr>
                <w:rFonts w:eastAsia="Times New Roman" w:cs="Calibri"/>
              </w:rPr>
              <w:t>70</w:t>
            </w:r>
          </w:p>
        </w:tc>
        <w:tc>
          <w:tcPr>
            <w:tcW w:w="0" w:type="auto"/>
            <w:tcBorders>
              <w:top w:val="nil"/>
              <w:left w:val="single" w:sz="4" w:space="0" w:color="auto"/>
              <w:bottom w:val="single" w:sz="4" w:space="0" w:color="auto"/>
              <w:right w:val="single" w:sz="8" w:space="0" w:color="auto"/>
            </w:tcBorders>
            <w:vAlign w:val="center"/>
            <w:hideMark/>
          </w:tcPr>
          <w:p w:rsidR="00F02890" w:rsidRDefault="00F02890">
            <w:pPr>
              <w:jc w:val="right"/>
              <w:rPr>
                <w:rFonts w:eastAsia="Times New Roman"/>
                <w:sz w:val="24"/>
                <w:szCs w:val="24"/>
              </w:rPr>
            </w:pPr>
            <w:r>
              <w:rPr>
                <w:rFonts w:eastAsia="Times New Roman" w:cs="Calibri"/>
              </w:rPr>
              <w:t>150</w:t>
            </w:r>
          </w:p>
        </w:tc>
      </w:tr>
      <w:tr w:rsidR="00F02890" w:rsidTr="00F02890">
        <w:trPr>
          <w:trHeight w:val="300"/>
        </w:trPr>
        <w:tc>
          <w:tcPr>
            <w:tcW w:w="0" w:type="auto"/>
            <w:tcBorders>
              <w:top w:val="nil"/>
              <w:left w:val="single" w:sz="8" w:space="0" w:color="auto"/>
              <w:bottom w:val="single" w:sz="4" w:space="0" w:color="auto"/>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MM</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67</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5</w:t>
            </w:r>
          </w:p>
        </w:tc>
        <w:tc>
          <w:tcPr>
            <w:tcW w:w="0" w:type="auto"/>
            <w:tcBorders>
              <w:top w:val="nil"/>
              <w:left w:val="nil"/>
              <w:bottom w:val="single" w:sz="4" w:space="0" w:color="auto"/>
              <w:right w:val="nil"/>
            </w:tcBorders>
            <w:vAlign w:val="center"/>
            <w:hideMark/>
          </w:tcPr>
          <w:p w:rsidR="00F02890" w:rsidRDefault="00F02890">
            <w:pPr>
              <w:jc w:val="right"/>
              <w:rPr>
                <w:rFonts w:eastAsia="Times New Roman"/>
                <w:sz w:val="24"/>
                <w:szCs w:val="24"/>
              </w:rPr>
            </w:pPr>
            <w:r>
              <w:rPr>
                <w:rFonts w:eastAsia="Times New Roman" w:cs="Calibri"/>
              </w:rPr>
              <w:t>45</w:t>
            </w:r>
          </w:p>
        </w:tc>
        <w:tc>
          <w:tcPr>
            <w:tcW w:w="0" w:type="auto"/>
            <w:tcBorders>
              <w:top w:val="nil"/>
              <w:left w:val="single" w:sz="4" w:space="0" w:color="auto"/>
              <w:bottom w:val="single" w:sz="4" w:space="0" w:color="auto"/>
              <w:right w:val="single" w:sz="8" w:space="0" w:color="auto"/>
            </w:tcBorders>
            <w:vAlign w:val="center"/>
            <w:hideMark/>
          </w:tcPr>
          <w:p w:rsidR="00F02890" w:rsidRDefault="00F02890">
            <w:pPr>
              <w:jc w:val="right"/>
              <w:rPr>
                <w:rFonts w:eastAsia="Times New Roman"/>
                <w:sz w:val="24"/>
                <w:szCs w:val="24"/>
              </w:rPr>
            </w:pPr>
            <w:r>
              <w:rPr>
                <w:rFonts w:eastAsia="Times New Roman" w:cs="Calibri"/>
              </w:rPr>
              <w:t>83</w:t>
            </w:r>
          </w:p>
        </w:tc>
      </w:tr>
      <w:tr w:rsidR="00F02890" w:rsidTr="00F02890">
        <w:trPr>
          <w:trHeight w:val="300"/>
        </w:trPr>
        <w:tc>
          <w:tcPr>
            <w:tcW w:w="0" w:type="auto"/>
            <w:tcBorders>
              <w:top w:val="nil"/>
              <w:left w:val="single" w:sz="8" w:space="0" w:color="auto"/>
              <w:bottom w:val="single" w:sz="4" w:space="0" w:color="auto"/>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J4 FT</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21</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2</w:t>
            </w:r>
          </w:p>
        </w:tc>
        <w:tc>
          <w:tcPr>
            <w:tcW w:w="0" w:type="auto"/>
            <w:tcBorders>
              <w:top w:val="nil"/>
              <w:left w:val="nil"/>
              <w:bottom w:val="single" w:sz="4" w:space="0" w:color="auto"/>
              <w:right w:val="nil"/>
            </w:tcBorders>
            <w:vAlign w:val="center"/>
            <w:hideMark/>
          </w:tcPr>
          <w:p w:rsidR="00F02890" w:rsidRDefault="00F02890">
            <w:pPr>
              <w:jc w:val="right"/>
              <w:rPr>
                <w:rFonts w:eastAsia="Times New Roman"/>
                <w:sz w:val="24"/>
                <w:szCs w:val="24"/>
              </w:rPr>
            </w:pPr>
            <w:r>
              <w:rPr>
                <w:rFonts w:eastAsia="Times New Roman" w:cs="Calibri"/>
              </w:rPr>
              <w:t>8</w:t>
            </w:r>
          </w:p>
        </w:tc>
        <w:tc>
          <w:tcPr>
            <w:tcW w:w="0" w:type="auto"/>
            <w:tcBorders>
              <w:top w:val="nil"/>
              <w:left w:val="single" w:sz="4" w:space="0" w:color="auto"/>
              <w:bottom w:val="single" w:sz="4" w:space="0" w:color="auto"/>
              <w:right w:val="single" w:sz="8" w:space="0" w:color="auto"/>
            </w:tcBorders>
            <w:vAlign w:val="center"/>
            <w:hideMark/>
          </w:tcPr>
          <w:p w:rsidR="00F02890" w:rsidRDefault="00F02890">
            <w:pPr>
              <w:jc w:val="right"/>
              <w:rPr>
                <w:rFonts w:eastAsia="Times New Roman"/>
                <w:sz w:val="24"/>
                <w:szCs w:val="24"/>
              </w:rPr>
            </w:pPr>
            <w:r>
              <w:rPr>
                <w:rFonts w:eastAsia="Times New Roman" w:cs="Calibri"/>
              </w:rPr>
              <w:t>22</w:t>
            </w:r>
          </w:p>
        </w:tc>
      </w:tr>
      <w:tr w:rsidR="00F02890" w:rsidTr="00F02890">
        <w:trPr>
          <w:trHeight w:val="300"/>
        </w:trPr>
        <w:tc>
          <w:tcPr>
            <w:tcW w:w="0" w:type="auto"/>
            <w:tcBorders>
              <w:top w:val="nil"/>
              <w:left w:val="single" w:sz="8" w:space="0" w:color="auto"/>
              <w:bottom w:val="single" w:sz="4" w:space="0" w:color="auto"/>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Junior</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34</w:t>
            </w:r>
          </w:p>
        </w:tc>
        <w:tc>
          <w:tcPr>
            <w:tcW w:w="0" w:type="auto"/>
            <w:tcBorders>
              <w:top w:val="nil"/>
              <w:left w:val="nil"/>
              <w:bottom w:val="single" w:sz="4"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11</w:t>
            </w:r>
          </w:p>
        </w:tc>
        <w:tc>
          <w:tcPr>
            <w:tcW w:w="0" w:type="auto"/>
            <w:tcBorders>
              <w:top w:val="nil"/>
              <w:left w:val="nil"/>
              <w:bottom w:val="single" w:sz="4" w:space="0" w:color="auto"/>
              <w:right w:val="nil"/>
            </w:tcBorders>
            <w:vAlign w:val="center"/>
            <w:hideMark/>
          </w:tcPr>
          <w:p w:rsidR="00F02890" w:rsidRDefault="00F02890">
            <w:pPr>
              <w:jc w:val="right"/>
              <w:rPr>
                <w:rFonts w:eastAsia="Times New Roman"/>
                <w:sz w:val="24"/>
                <w:szCs w:val="24"/>
              </w:rPr>
            </w:pPr>
            <w:r>
              <w:rPr>
                <w:rFonts w:eastAsia="Times New Roman" w:cs="Calibri"/>
              </w:rPr>
              <w:t>16</w:t>
            </w:r>
          </w:p>
        </w:tc>
        <w:tc>
          <w:tcPr>
            <w:tcW w:w="0" w:type="auto"/>
            <w:tcBorders>
              <w:top w:val="nil"/>
              <w:left w:val="single" w:sz="4" w:space="0" w:color="auto"/>
              <w:bottom w:val="single" w:sz="4" w:space="0" w:color="auto"/>
              <w:right w:val="single" w:sz="8" w:space="0" w:color="auto"/>
            </w:tcBorders>
            <w:vAlign w:val="center"/>
            <w:hideMark/>
          </w:tcPr>
          <w:p w:rsidR="00F02890" w:rsidRDefault="00F02890">
            <w:pPr>
              <w:jc w:val="right"/>
              <w:rPr>
                <w:rFonts w:eastAsia="Times New Roman"/>
                <w:sz w:val="24"/>
                <w:szCs w:val="24"/>
              </w:rPr>
            </w:pPr>
            <w:r>
              <w:rPr>
                <w:rFonts w:eastAsia="Times New Roman" w:cs="Calibri"/>
              </w:rPr>
              <w:t>52</w:t>
            </w:r>
          </w:p>
        </w:tc>
      </w:tr>
      <w:tr w:rsidR="00F02890" w:rsidTr="00F02890">
        <w:trPr>
          <w:trHeight w:val="315"/>
        </w:trPr>
        <w:tc>
          <w:tcPr>
            <w:tcW w:w="0" w:type="auto"/>
            <w:tcBorders>
              <w:top w:val="nil"/>
              <w:left w:val="single" w:sz="8" w:space="0" w:color="auto"/>
              <w:bottom w:val="nil"/>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Masters</w:t>
            </w:r>
          </w:p>
        </w:tc>
        <w:tc>
          <w:tcPr>
            <w:tcW w:w="0" w:type="auto"/>
            <w:tcBorders>
              <w:top w:val="nil"/>
              <w:left w:val="nil"/>
              <w:bottom w:val="nil"/>
              <w:right w:val="single" w:sz="4" w:space="0" w:color="auto"/>
            </w:tcBorders>
            <w:vAlign w:val="center"/>
            <w:hideMark/>
          </w:tcPr>
          <w:p w:rsidR="00F02890" w:rsidRDefault="00F02890">
            <w:pPr>
              <w:jc w:val="right"/>
              <w:rPr>
                <w:rFonts w:eastAsia="Times New Roman"/>
                <w:sz w:val="24"/>
                <w:szCs w:val="24"/>
              </w:rPr>
            </w:pPr>
            <w:r>
              <w:rPr>
                <w:rFonts w:eastAsia="Times New Roman" w:cs="Calibri"/>
              </w:rPr>
              <w:t>8</w:t>
            </w:r>
          </w:p>
        </w:tc>
        <w:tc>
          <w:tcPr>
            <w:tcW w:w="0" w:type="auto"/>
            <w:tcBorders>
              <w:top w:val="nil"/>
              <w:left w:val="nil"/>
              <w:bottom w:val="nil"/>
              <w:right w:val="single" w:sz="4" w:space="0" w:color="auto"/>
            </w:tcBorders>
            <w:vAlign w:val="center"/>
            <w:hideMark/>
          </w:tcPr>
          <w:p w:rsidR="00F02890" w:rsidRDefault="00F02890">
            <w:pPr>
              <w:rPr>
                <w:rFonts w:eastAsia="Times New Roman"/>
                <w:sz w:val="24"/>
                <w:szCs w:val="24"/>
              </w:rPr>
            </w:pPr>
            <w:r>
              <w:rPr>
                <w:rFonts w:eastAsia="Times New Roman" w:cs="Calibri"/>
              </w:rPr>
              <w:t> </w:t>
            </w:r>
          </w:p>
        </w:tc>
        <w:tc>
          <w:tcPr>
            <w:tcW w:w="0" w:type="auto"/>
            <w:vAlign w:val="center"/>
            <w:hideMark/>
          </w:tcPr>
          <w:p w:rsidR="00F02890" w:rsidRDefault="00F02890">
            <w:pPr>
              <w:jc w:val="right"/>
              <w:rPr>
                <w:rFonts w:eastAsia="Times New Roman"/>
                <w:sz w:val="24"/>
                <w:szCs w:val="24"/>
              </w:rPr>
            </w:pPr>
            <w:r>
              <w:rPr>
                <w:rFonts w:eastAsia="Times New Roman" w:cs="Calibri"/>
              </w:rPr>
              <w:t>9</w:t>
            </w:r>
          </w:p>
        </w:tc>
        <w:tc>
          <w:tcPr>
            <w:tcW w:w="0" w:type="auto"/>
            <w:tcBorders>
              <w:top w:val="nil"/>
              <w:left w:val="single" w:sz="4" w:space="0" w:color="auto"/>
              <w:bottom w:val="nil"/>
              <w:right w:val="single" w:sz="8" w:space="0" w:color="auto"/>
            </w:tcBorders>
            <w:vAlign w:val="center"/>
            <w:hideMark/>
          </w:tcPr>
          <w:p w:rsidR="00F02890" w:rsidRDefault="00F02890">
            <w:pPr>
              <w:jc w:val="right"/>
              <w:rPr>
                <w:rFonts w:eastAsia="Times New Roman"/>
                <w:sz w:val="24"/>
                <w:szCs w:val="24"/>
              </w:rPr>
            </w:pPr>
            <w:r>
              <w:rPr>
                <w:rFonts w:eastAsia="Times New Roman" w:cs="Calibri"/>
              </w:rPr>
              <w:t>9</w:t>
            </w:r>
          </w:p>
        </w:tc>
      </w:tr>
      <w:tr w:rsidR="00F02890" w:rsidTr="00F02890">
        <w:trPr>
          <w:trHeight w:val="315"/>
        </w:trPr>
        <w:tc>
          <w:tcPr>
            <w:tcW w:w="0" w:type="auto"/>
            <w:tcBorders>
              <w:top w:val="single" w:sz="8" w:space="0" w:color="auto"/>
              <w:left w:val="single" w:sz="8" w:space="0" w:color="auto"/>
              <w:bottom w:val="single" w:sz="8" w:space="0" w:color="auto"/>
              <w:right w:val="single" w:sz="8" w:space="0" w:color="auto"/>
            </w:tcBorders>
            <w:vAlign w:val="center"/>
            <w:hideMark/>
          </w:tcPr>
          <w:p w:rsidR="00F02890" w:rsidRDefault="00F02890">
            <w:pPr>
              <w:rPr>
                <w:rFonts w:eastAsia="Times New Roman"/>
                <w:sz w:val="24"/>
                <w:szCs w:val="24"/>
              </w:rPr>
            </w:pPr>
            <w:r>
              <w:rPr>
                <w:rStyle w:val="Strong"/>
                <w:rFonts w:eastAsia="Times New Roman" w:cs="Calibri"/>
              </w:rPr>
              <w:t>Totals</w:t>
            </w:r>
          </w:p>
        </w:tc>
        <w:tc>
          <w:tcPr>
            <w:tcW w:w="0" w:type="auto"/>
            <w:tcBorders>
              <w:top w:val="single" w:sz="8" w:space="0" w:color="auto"/>
              <w:left w:val="nil"/>
              <w:bottom w:val="single" w:sz="8"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256</w:t>
            </w:r>
          </w:p>
        </w:tc>
        <w:tc>
          <w:tcPr>
            <w:tcW w:w="0" w:type="auto"/>
            <w:tcBorders>
              <w:top w:val="single" w:sz="8" w:space="0" w:color="auto"/>
              <w:left w:val="nil"/>
              <w:bottom w:val="single" w:sz="8" w:space="0" w:color="auto"/>
              <w:right w:val="single" w:sz="4" w:space="0" w:color="auto"/>
            </w:tcBorders>
            <w:vAlign w:val="center"/>
            <w:hideMark/>
          </w:tcPr>
          <w:p w:rsidR="00F02890" w:rsidRDefault="00F02890">
            <w:pPr>
              <w:jc w:val="right"/>
              <w:rPr>
                <w:rFonts w:eastAsia="Times New Roman"/>
                <w:sz w:val="24"/>
                <w:szCs w:val="24"/>
              </w:rPr>
            </w:pPr>
            <w:r>
              <w:rPr>
                <w:rFonts w:eastAsia="Times New Roman" w:cs="Calibri"/>
              </w:rPr>
              <w:t>18</w:t>
            </w:r>
          </w:p>
        </w:tc>
        <w:tc>
          <w:tcPr>
            <w:tcW w:w="0" w:type="auto"/>
            <w:tcBorders>
              <w:top w:val="single" w:sz="8" w:space="0" w:color="auto"/>
              <w:left w:val="nil"/>
              <w:bottom w:val="single" w:sz="8" w:space="0" w:color="auto"/>
              <w:right w:val="nil"/>
            </w:tcBorders>
            <w:vAlign w:val="center"/>
            <w:hideMark/>
          </w:tcPr>
          <w:p w:rsidR="00F02890" w:rsidRDefault="00F02890">
            <w:pPr>
              <w:jc w:val="right"/>
              <w:rPr>
                <w:rFonts w:eastAsia="Times New Roman"/>
                <w:sz w:val="24"/>
                <w:szCs w:val="24"/>
              </w:rPr>
            </w:pPr>
            <w:r>
              <w:rPr>
                <w:rFonts w:eastAsia="Times New Roman" w:cs="Calibri"/>
              </w:rPr>
              <w:t>148</w:t>
            </w:r>
          </w:p>
        </w:tc>
        <w:tc>
          <w:tcPr>
            <w:tcW w:w="0" w:type="auto"/>
            <w:tcBorders>
              <w:top w:val="single" w:sz="8" w:space="0" w:color="auto"/>
              <w:left w:val="single" w:sz="4" w:space="0" w:color="auto"/>
              <w:bottom w:val="single" w:sz="8" w:space="0" w:color="auto"/>
              <w:right w:val="single" w:sz="8" w:space="0" w:color="auto"/>
            </w:tcBorders>
            <w:vAlign w:val="center"/>
            <w:hideMark/>
          </w:tcPr>
          <w:p w:rsidR="00F02890" w:rsidRDefault="00F02890">
            <w:pPr>
              <w:jc w:val="right"/>
              <w:rPr>
                <w:rFonts w:eastAsia="Times New Roman"/>
                <w:sz w:val="24"/>
                <w:szCs w:val="24"/>
              </w:rPr>
            </w:pPr>
            <w:r>
              <w:rPr>
                <w:rFonts w:eastAsia="Times New Roman" w:cs="Calibri"/>
              </w:rPr>
              <w:t>316</w:t>
            </w:r>
          </w:p>
        </w:tc>
      </w:tr>
    </w:tbl>
    <w:p w:rsidR="00F02890" w:rsidRPr="00F02890" w:rsidRDefault="00F02890" w:rsidP="00F02890">
      <w:r>
        <w:rPr>
          <w:rFonts w:ascii="Tahoma" w:eastAsia="Times New Roman" w:hAnsi="Tahoma" w:cs="Tahoma"/>
          <w:sz w:val="20"/>
          <w:szCs w:val="20"/>
        </w:rPr>
        <w:br/>
        <w:t> </w:t>
      </w:r>
      <w:r>
        <w:rPr>
          <w:rFonts w:ascii="Tahoma" w:eastAsia="Times New Roman" w:hAnsi="Tahoma" w:cs="Tahoma"/>
          <w:sz w:val="20"/>
          <w:szCs w:val="20"/>
        </w:rPr>
        <w:br/>
      </w:r>
      <w:r w:rsidRPr="00F02890">
        <w:t>We currently are at - 274  - registered with 256 paying online and 18 opting for check payment(Pending Renewal).We still have space in prep with 126 out of 150 available but have significant number of members last year who have not registered.</w:t>
      </w:r>
      <w:r>
        <w:t xml:space="preserve"> </w:t>
      </w:r>
      <w:r w:rsidRPr="00F02890">
        <w:t>I am planning on connecting with all people who have not renewed this week to remind them that they have not yet renewed.</w:t>
      </w:r>
      <w:r w:rsidRPr="00F02890">
        <w:br/>
        <w:t>Top Registration issues:</w:t>
      </w:r>
    </w:p>
    <w:p w:rsidR="00F02890" w:rsidRDefault="00F02890" w:rsidP="00BF6619">
      <w:r w:rsidRPr="00F02890">
        <w:t>1 - Don't remember email password</w:t>
      </w:r>
      <w:r w:rsidRPr="00F02890">
        <w:br/>
        <w:t>2 - Registered with new email instead of trying to figure out old email</w:t>
      </w:r>
      <w:r w:rsidRPr="00F02890">
        <w:br/>
        <w:t>3 - CC company putting hold on payments with families registering 3 or more people </w:t>
      </w:r>
      <w:r w:rsidRPr="00F02890">
        <w:br/>
        <w:t xml:space="preserve">Other items - </w:t>
      </w:r>
      <w:r w:rsidRPr="00F02890">
        <w:br/>
        <w:t>1 - I will bring the stickers and money to give to Lynne and Angie</w:t>
      </w:r>
      <w:r w:rsidRPr="00F02890">
        <w:br/>
        <w:t xml:space="preserve">2 - Officials training - will send out a reminder note to </w:t>
      </w:r>
      <w:proofErr w:type="spellStart"/>
      <w:r w:rsidRPr="00F02890">
        <w:t>cmac</w:t>
      </w:r>
      <w:proofErr w:type="spellEnd"/>
      <w:r w:rsidRPr="00F02890">
        <w:t xml:space="preserve"> membership to ensure everyone gets </w:t>
      </w:r>
      <w:r w:rsidR="0057621A">
        <w:t>signed up for training in Nov.</w:t>
      </w:r>
    </w:p>
    <w:p w:rsidR="00597D39" w:rsidRDefault="00597D39" w:rsidP="00BF6619">
      <w:pPr>
        <w:rPr>
          <w:b/>
          <w:u w:val="single"/>
        </w:rPr>
      </w:pPr>
      <w:r>
        <w:rPr>
          <w:b/>
          <w:u w:val="single"/>
        </w:rPr>
        <w:t>Volunteers Report</w:t>
      </w:r>
      <w:r w:rsidR="0057621A">
        <w:rPr>
          <w:b/>
          <w:u w:val="single"/>
        </w:rPr>
        <w:t xml:space="preserve"> – </w:t>
      </w:r>
      <w:r w:rsidR="0057621A">
        <w:t>i</w:t>
      </w:r>
      <w:r w:rsidR="0057621A" w:rsidRPr="00C931B0">
        <w:t xml:space="preserve">ncorporated by reference </w:t>
      </w:r>
      <w:r w:rsidR="0057621A">
        <w:t>from email by A. Hicks</w:t>
      </w:r>
    </w:p>
    <w:p w:rsidR="0057621A" w:rsidRDefault="0057621A" w:rsidP="0057621A">
      <w:r>
        <w:t xml:space="preserve">Online volunteering is working brilliantly this year.  There have been a few questions and job clarifications from new members and expecting more to come rolling in but other than that -- nothing really for me to report at this time.  170 positions are already filled.  </w:t>
      </w:r>
    </w:p>
    <w:p w:rsidR="00597D39" w:rsidRDefault="00597D39" w:rsidP="00B91526">
      <w:pPr>
        <w:rPr>
          <w:b/>
          <w:u w:val="single"/>
        </w:rPr>
      </w:pPr>
      <w:proofErr w:type="gramStart"/>
      <w:r>
        <w:rPr>
          <w:b/>
          <w:u w:val="single"/>
        </w:rPr>
        <w:t>Governance</w:t>
      </w:r>
      <w:r>
        <w:rPr>
          <w:u w:val="single"/>
        </w:rPr>
        <w:t xml:space="preserve"> </w:t>
      </w:r>
      <w:r>
        <w:rPr>
          <w:b/>
          <w:u w:val="single"/>
        </w:rPr>
        <w:t xml:space="preserve"> </w:t>
      </w:r>
      <w:r w:rsidR="0057621A">
        <w:rPr>
          <w:b/>
          <w:u w:val="single"/>
        </w:rPr>
        <w:t>-</w:t>
      </w:r>
      <w:proofErr w:type="gramEnd"/>
      <w:r w:rsidR="0057621A">
        <w:rPr>
          <w:b/>
          <w:u w:val="single"/>
        </w:rPr>
        <w:t xml:space="preserve"> </w:t>
      </w:r>
      <w:r w:rsidR="002A327F">
        <w:rPr>
          <w:b/>
          <w:u w:val="single"/>
        </w:rPr>
        <w:t>A. Niemann</w:t>
      </w:r>
    </w:p>
    <w:p w:rsidR="00F02890" w:rsidRDefault="00F42D31" w:rsidP="00E93921">
      <w:r>
        <w:t>CMAC is in good position for its Tax exemp</w:t>
      </w:r>
      <w:r w:rsidR="00F02890">
        <w:t>t</w:t>
      </w:r>
      <w:r>
        <w:t xml:space="preserve"> status since it has less the $50,000 coming from paid organized fund raising. </w:t>
      </w:r>
    </w:p>
    <w:p w:rsidR="00597D39" w:rsidRDefault="00FB24B5" w:rsidP="00BF6619">
      <w:r>
        <w:rPr>
          <w:b/>
          <w:u w:val="single"/>
        </w:rPr>
        <w:lastRenderedPageBreak/>
        <w:t>T</w:t>
      </w:r>
      <w:r w:rsidR="00597D39">
        <w:rPr>
          <w:b/>
          <w:u w:val="single"/>
        </w:rPr>
        <w:t>reasurer Report</w:t>
      </w:r>
      <w:r w:rsidR="00597D39">
        <w:rPr>
          <w:u w:val="single"/>
        </w:rPr>
        <w:t xml:space="preserve"> </w:t>
      </w:r>
      <w:r w:rsidR="00597D39">
        <w:rPr>
          <w:b/>
          <w:u w:val="single"/>
        </w:rPr>
        <w:t>– Bill Koefoed</w:t>
      </w:r>
      <w:r w:rsidR="00555237">
        <w:rPr>
          <w:b/>
          <w:u w:val="single"/>
        </w:rPr>
        <w:t xml:space="preserve"> </w:t>
      </w:r>
      <w:r>
        <w:t>No new up</w:t>
      </w:r>
      <w:r w:rsidR="00F02890">
        <w:t xml:space="preserve">dates beginning of fiscal year.  </w:t>
      </w:r>
    </w:p>
    <w:p w:rsidR="008850A2" w:rsidRPr="00C931B0" w:rsidRDefault="00597D39" w:rsidP="00BF6619">
      <w:r w:rsidRPr="004043C9">
        <w:rPr>
          <w:b/>
          <w:u w:val="single"/>
        </w:rPr>
        <w:t xml:space="preserve">Communications </w:t>
      </w:r>
      <w:proofErr w:type="gramStart"/>
      <w:r w:rsidRPr="004043C9">
        <w:rPr>
          <w:b/>
          <w:u w:val="single"/>
        </w:rPr>
        <w:t>Report</w:t>
      </w:r>
      <w:r w:rsidR="008850A2">
        <w:rPr>
          <w:b/>
          <w:u w:val="single"/>
        </w:rPr>
        <w:t xml:space="preserve">  </w:t>
      </w:r>
      <w:r w:rsidR="00C931B0">
        <w:t>i</w:t>
      </w:r>
      <w:r w:rsidR="008850A2" w:rsidRPr="00C931B0">
        <w:t>ncorporated</w:t>
      </w:r>
      <w:proofErr w:type="gramEnd"/>
      <w:r w:rsidR="008850A2" w:rsidRPr="00C931B0">
        <w:t xml:space="preserve"> by reference </w:t>
      </w:r>
      <w:r w:rsidR="00C931B0">
        <w:t xml:space="preserve"> from email by</w:t>
      </w:r>
      <w:r w:rsidR="00F02890">
        <w:t xml:space="preserve"> </w:t>
      </w:r>
      <w:r w:rsidR="00C931B0">
        <w:t>S. Sundberg</w:t>
      </w:r>
    </w:p>
    <w:p w:rsidR="008850A2" w:rsidRDefault="008850A2" w:rsidP="008850A2">
      <w:pPr>
        <w:rPr>
          <w:rFonts w:eastAsia="Times New Roman"/>
        </w:rPr>
      </w:pPr>
      <w:r>
        <w:rPr>
          <w:rFonts w:eastAsia="Times New Roman"/>
        </w:rPr>
        <w:t xml:space="preserve">Steve has been working on Corporate Sponsorship the past month and </w:t>
      </w:r>
      <w:r w:rsidR="00C931B0">
        <w:rPr>
          <w:rFonts w:eastAsia="Times New Roman"/>
        </w:rPr>
        <w:t>continues</w:t>
      </w:r>
      <w:r>
        <w:rPr>
          <w:rFonts w:eastAsia="Times New Roman"/>
        </w:rPr>
        <w:t xml:space="preserve"> to chase around Nordica &amp; SWIX but both have committed to doing something.  Starbucks declined as it is not part of their community outreach program, Les Schwab might do something although initial reaction is that we don't have enough reach for them to commit dollars to us, no movement on Discount Tires.  The Arnold Group is going to be a sponsor </w:t>
      </w:r>
      <w:proofErr w:type="gramStart"/>
      <w:r>
        <w:rPr>
          <w:rFonts w:eastAsia="Times New Roman"/>
        </w:rPr>
        <w:t>again,</w:t>
      </w:r>
      <w:proofErr w:type="gramEnd"/>
      <w:r>
        <w:rPr>
          <w:rFonts w:eastAsia="Times New Roman"/>
        </w:rPr>
        <w:t xml:space="preserve"> Rack &amp; Road came to us about partnering in some form with discounts etc. I have not spoken with them yet about details.  Universal Sports contacted Alan about partnering and Kari &amp; I are reaching out to them</w:t>
      </w:r>
      <w:r w:rsidR="00C931B0">
        <w:rPr>
          <w:rFonts w:eastAsia="Times New Roman"/>
        </w:rPr>
        <w:t>.</w:t>
      </w:r>
    </w:p>
    <w:p w:rsidR="00C931B0" w:rsidRDefault="008850A2" w:rsidP="00682DF6">
      <w:r>
        <w:rPr>
          <w:rFonts w:eastAsia="Times New Roman"/>
        </w:rPr>
        <w:t xml:space="preserve">We are starting to get some dollars in to FFE from parents but most </w:t>
      </w:r>
      <w:proofErr w:type="spellStart"/>
      <w:r>
        <w:rPr>
          <w:rFonts w:eastAsia="Times New Roman"/>
        </w:rPr>
        <w:t>f</w:t>
      </w:r>
      <w:proofErr w:type="spellEnd"/>
      <w:r>
        <w:rPr>
          <w:rFonts w:eastAsia="Times New Roman"/>
        </w:rPr>
        <w:t xml:space="preserve"> that will come as we get closer to the season and we make more asks.</w:t>
      </w:r>
      <w:r w:rsidR="00555237">
        <w:rPr>
          <w:rFonts w:eastAsia="Times New Roman"/>
        </w:rPr>
        <w:t xml:space="preserve"> </w:t>
      </w:r>
      <w:r>
        <w:t>Podium, will update next month</w:t>
      </w:r>
    </w:p>
    <w:p w:rsidR="00555237" w:rsidRDefault="00682DF6" w:rsidP="00555237">
      <w:pPr>
        <w:rPr>
          <w:b/>
        </w:rPr>
      </w:pPr>
      <w:r>
        <w:rPr>
          <w:b/>
          <w:u w:val="single"/>
        </w:rPr>
        <w:t>New Business</w:t>
      </w:r>
    </w:p>
    <w:p w:rsidR="00555237" w:rsidRDefault="00555237" w:rsidP="00555237">
      <w:pPr>
        <w:rPr>
          <w:b/>
        </w:rPr>
      </w:pPr>
      <w:r>
        <w:rPr>
          <w:b/>
        </w:rPr>
        <w:t>Motion by C. Reininger 2</w:t>
      </w:r>
      <w:r w:rsidRPr="00C931B0">
        <w:rPr>
          <w:b/>
          <w:vertAlign w:val="superscript"/>
        </w:rPr>
        <w:t>nd</w:t>
      </w:r>
      <w:r>
        <w:rPr>
          <w:b/>
        </w:rPr>
        <w:t xml:space="preserve"> by A. Neiman  </w:t>
      </w:r>
      <w:r w:rsidRPr="00F30909">
        <w:t xml:space="preserve"> </w:t>
      </w:r>
      <w:r>
        <w:t>approve the written proposal for $250 from the FF&amp;</w:t>
      </w:r>
      <w:proofErr w:type="gramStart"/>
      <w:r>
        <w:t>E  for</w:t>
      </w:r>
      <w:proofErr w:type="gramEnd"/>
      <w:r>
        <w:t xml:space="preserve"> a Masters awards ceremony and social on January 15, 2012, immediately after the race.</w:t>
      </w:r>
    </w:p>
    <w:p w:rsidR="00555237" w:rsidRDefault="00555237" w:rsidP="00682DF6">
      <w:r>
        <w:rPr>
          <w:b/>
        </w:rPr>
        <w:t>Motion passed unanimously</w:t>
      </w:r>
    </w:p>
    <w:p w:rsidR="00DC3476" w:rsidRDefault="00C931B0" w:rsidP="00682DF6">
      <w:r>
        <w:t xml:space="preserve">A presentation/demonstration </w:t>
      </w:r>
      <w:r w:rsidR="00DC3476">
        <w:t xml:space="preserve">of a new </w:t>
      </w:r>
      <w:r>
        <w:t>online</w:t>
      </w:r>
      <w:r w:rsidR="0057621A">
        <w:t xml:space="preserve"> </w:t>
      </w:r>
      <w:r>
        <w:t xml:space="preserve">video editing and training software was done by A. Cooley.  </w:t>
      </w:r>
      <w:r w:rsidR="0057621A">
        <w:t xml:space="preserve"> </w:t>
      </w:r>
      <w:r w:rsidR="00DC3476">
        <w:t xml:space="preserve">The tool allows for side by side comparisons, editing and slow motion review all online. </w:t>
      </w:r>
      <w:r w:rsidR="0057621A">
        <w:t xml:space="preserve">The proposal is to pilot the use of more video at CMAC and have a dedicated videographer as a paid position.   The use and benefit of video </w:t>
      </w:r>
      <w:r w:rsidR="00DC3476">
        <w:t xml:space="preserve">for athlete development </w:t>
      </w:r>
      <w:r w:rsidR="0057621A">
        <w:t xml:space="preserve">was discussed at length along with issues which arise </w:t>
      </w:r>
      <w:r w:rsidR="00DC3476">
        <w:t xml:space="preserve">with video including </w:t>
      </w:r>
      <w:r w:rsidR="0057621A">
        <w:t>weather, access/fairness and coaching distraction.</w:t>
      </w:r>
      <w:r w:rsidR="00DC3476">
        <w:t xml:space="preserve">  Video technology continues to rapidly evolve making it much easier and cost effective than a few years ago. There are several coaches and parents highly interested in participating and supporting a test of this system.</w:t>
      </w:r>
    </w:p>
    <w:p w:rsidR="00DC3476" w:rsidRDefault="00DC3476" w:rsidP="00DC3476">
      <w:pPr>
        <w:rPr>
          <w:b/>
        </w:rPr>
      </w:pPr>
      <w:r>
        <w:rPr>
          <w:b/>
        </w:rPr>
        <w:t>Motion by A. Cooley 2</w:t>
      </w:r>
      <w:r w:rsidRPr="00C931B0">
        <w:rPr>
          <w:b/>
          <w:vertAlign w:val="superscript"/>
        </w:rPr>
        <w:t>nd</w:t>
      </w:r>
      <w:r>
        <w:rPr>
          <w:b/>
        </w:rPr>
        <w:t xml:space="preserve"> by D. Greenshields   </w:t>
      </w:r>
      <w:r w:rsidRPr="00F30909">
        <w:t xml:space="preserve">for approval </w:t>
      </w:r>
      <w:r>
        <w:t xml:space="preserve">of up to $2,000 in expenditures from the Fund </w:t>
      </w:r>
      <w:proofErr w:type="gramStart"/>
      <w:r>
        <w:t>For</w:t>
      </w:r>
      <w:proofErr w:type="gramEnd"/>
      <w:r>
        <w:t xml:space="preserve"> Excellence in a Pilot video program, including the purchase of some new equipment, the Pilot program will be reviewed at the January board meeting for continuation. </w:t>
      </w:r>
    </w:p>
    <w:p w:rsidR="0057621A" w:rsidRPr="00555237" w:rsidRDefault="00DC3476" w:rsidP="00682DF6">
      <w:pPr>
        <w:rPr>
          <w:b/>
        </w:rPr>
      </w:pPr>
      <w:r>
        <w:rPr>
          <w:b/>
        </w:rPr>
        <w:t>Motion passed unanimously</w:t>
      </w:r>
    </w:p>
    <w:p w:rsidR="00597D39" w:rsidRDefault="00C931B0" w:rsidP="00B91526">
      <w:r>
        <w:t>Meeting Adjourned 8:30</w:t>
      </w:r>
      <w:r w:rsidR="00597D39">
        <w:t>pm.</w:t>
      </w:r>
    </w:p>
    <w:p w:rsidR="00597D39" w:rsidRDefault="00597D39" w:rsidP="00B91526">
      <w:pPr>
        <w:rPr>
          <w:b/>
        </w:rPr>
      </w:pPr>
      <w:r w:rsidRPr="00643AE5">
        <w:rPr>
          <w:b/>
        </w:rPr>
        <w:t>Next meeting:</w:t>
      </w:r>
      <w:r w:rsidR="00C931B0">
        <w:rPr>
          <w:b/>
        </w:rPr>
        <w:t xml:space="preserve"> November 21st</w:t>
      </w:r>
      <w:r w:rsidRPr="00643AE5">
        <w:rPr>
          <w:b/>
        </w:rPr>
        <w:t>, 2011 at 6:00 p.m. at</w:t>
      </w:r>
      <w:r w:rsidR="00C931B0">
        <w:rPr>
          <w:b/>
        </w:rPr>
        <w:t xml:space="preserve"> ING DIRECT 83 King Street, Seattle</w:t>
      </w:r>
      <w:r w:rsidRPr="00643AE5">
        <w:rPr>
          <w:b/>
        </w:rPr>
        <w:t>.</w:t>
      </w:r>
    </w:p>
    <w:p w:rsidR="009E6777" w:rsidRDefault="009E6777" w:rsidP="00B91526">
      <w:pPr>
        <w:rPr>
          <w:b/>
        </w:rPr>
      </w:pPr>
      <w:r>
        <w:rPr>
          <w:b/>
        </w:rPr>
        <w:t>___________________________________</w:t>
      </w:r>
    </w:p>
    <w:p w:rsidR="009E6777" w:rsidRDefault="009E6777" w:rsidP="00B91526">
      <w:pPr>
        <w:rPr>
          <w:b/>
        </w:rPr>
      </w:pPr>
      <w:r>
        <w:rPr>
          <w:b/>
        </w:rPr>
        <w:t>Dan Greenshields, Secretary</w:t>
      </w:r>
    </w:p>
    <w:p w:rsidR="00597D39" w:rsidRPr="00BF6619" w:rsidRDefault="00597D39" w:rsidP="00BF6619">
      <w:pPr>
        <w:rPr>
          <w:b/>
        </w:rPr>
      </w:pP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27359"/>
    <w:rsid w:val="00081F46"/>
    <w:rsid w:val="00097369"/>
    <w:rsid w:val="000D3EC6"/>
    <w:rsid w:val="000E7A56"/>
    <w:rsid w:val="000F1DA7"/>
    <w:rsid w:val="001134B4"/>
    <w:rsid w:val="00202E5A"/>
    <w:rsid w:val="00246867"/>
    <w:rsid w:val="00290812"/>
    <w:rsid w:val="002A10FC"/>
    <w:rsid w:val="002A327F"/>
    <w:rsid w:val="002B73E5"/>
    <w:rsid w:val="002D1AF5"/>
    <w:rsid w:val="002E7C17"/>
    <w:rsid w:val="0030414C"/>
    <w:rsid w:val="00312683"/>
    <w:rsid w:val="00324B28"/>
    <w:rsid w:val="00325EC9"/>
    <w:rsid w:val="00336D83"/>
    <w:rsid w:val="0035156A"/>
    <w:rsid w:val="00383272"/>
    <w:rsid w:val="003F5102"/>
    <w:rsid w:val="004043C9"/>
    <w:rsid w:val="00425021"/>
    <w:rsid w:val="00456233"/>
    <w:rsid w:val="004713F1"/>
    <w:rsid w:val="00482247"/>
    <w:rsid w:val="004E621A"/>
    <w:rsid w:val="004F0250"/>
    <w:rsid w:val="0050191A"/>
    <w:rsid w:val="00555237"/>
    <w:rsid w:val="00564BDA"/>
    <w:rsid w:val="0057621A"/>
    <w:rsid w:val="00597D39"/>
    <w:rsid w:val="005A424F"/>
    <w:rsid w:val="00624897"/>
    <w:rsid w:val="006415C3"/>
    <w:rsid w:val="006436C2"/>
    <w:rsid w:val="00643AE5"/>
    <w:rsid w:val="006478FF"/>
    <w:rsid w:val="00681113"/>
    <w:rsid w:val="00682DF6"/>
    <w:rsid w:val="006858E7"/>
    <w:rsid w:val="006D7D02"/>
    <w:rsid w:val="006F51C7"/>
    <w:rsid w:val="00707FFE"/>
    <w:rsid w:val="00740EFC"/>
    <w:rsid w:val="00745707"/>
    <w:rsid w:val="007539F4"/>
    <w:rsid w:val="007B3284"/>
    <w:rsid w:val="007B7D8F"/>
    <w:rsid w:val="0081631F"/>
    <w:rsid w:val="0081796C"/>
    <w:rsid w:val="00841806"/>
    <w:rsid w:val="008850A2"/>
    <w:rsid w:val="008D7D1A"/>
    <w:rsid w:val="008F45A3"/>
    <w:rsid w:val="0091704C"/>
    <w:rsid w:val="009223CC"/>
    <w:rsid w:val="00966E3A"/>
    <w:rsid w:val="009B4822"/>
    <w:rsid w:val="009B7700"/>
    <w:rsid w:val="009C4200"/>
    <w:rsid w:val="009E6777"/>
    <w:rsid w:val="009F042D"/>
    <w:rsid w:val="009F4C73"/>
    <w:rsid w:val="00A3540D"/>
    <w:rsid w:val="00A96C37"/>
    <w:rsid w:val="00AE75BF"/>
    <w:rsid w:val="00B10EB2"/>
    <w:rsid w:val="00B61552"/>
    <w:rsid w:val="00B91526"/>
    <w:rsid w:val="00BC1A03"/>
    <w:rsid w:val="00BE5A66"/>
    <w:rsid w:val="00BF6619"/>
    <w:rsid w:val="00C15DC2"/>
    <w:rsid w:val="00C17B9B"/>
    <w:rsid w:val="00C210E5"/>
    <w:rsid w:val="00C2264D"/>
    <w:rsid w:val="00C931B0"/>
    <w:rsid w:val="00C95274"/>
    <w:rsid w:val="00CA27E0"/>
    <w:rsid w:val="00CF6226"/>
    <w:rsid w:val="00CF6A90"/>
    <w:rsid w:val="00D1303F"/>
    <w:rsid w:val="00D57C54"/>
    <w:rsid w:val="00DA7A0C"/>
    <w:rsid w:val="00DC3476"/>
    <w:rsid w:val="00DF4892"/>
    <w:rsid w:val="00E07005"/>
    <w:rsid w:val="00E90D7F"/>
    <w:rsid w:val="00E93921"/>
    <w:rsid w:val="00EC284D"/>
    <w:rsid w:val="00F02890"/>
    <w:rsid w:val="00F30909"/>
    <w:rsid w:val="00F41FAC"/>
    <w:rsid w:val="00F42D31"/>
    <w:rsid w:val="00FB24B5"/>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30909"/>
    <w:rPr>
      <w:color w:val="0000FF"/>
      <w:u w:val="single"/>
    </w:rPr>
  </w:style>
  <w:style w:type="character" w:styleId="Strong">
    <w:name w:val="Strong"/>
    <w:basedOn w:val="DefaultParagraphFont"/>
    <w:uiPriority w:val="22"/>
    <w:qFormat/>
    <w:locked/>
    <w:rsid w:val="00F02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30909"/>
    <w:rPr>
      <w:color w:val="0000FF"/>
      <w:u w:val="single"/>
    </w:rPr>
  </w:style>
  <w:style w:type="character" w:styleId="Strong">
    <w:name w:val="Strong"/>
    <w:basedOn w:val="DefaultParagraphFont"/>
    <w:uiPriority w:val="22"/>
    <w:qFormat/>
    <w:locked/>
    <w:rsid w:val="00F02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837">
      <w:bodyDiv w:val="1"/>
      <w:marLeft w:val="0"/>
      <w:marRight w:val="0"/>
      <w:marTop w:val="0"/>
      <w:marBottom w:val="0"/>
      <w:divBdr>
        <w:top w:val="none" w:sz="0" w:space="0" w:color="auto"/>
        <w:left w:val="none" w:sz="0" w:space="0" w:color="auto"/>
        <w:bottom w:val="none" w:sz="0" w:space="0" w:color="auto"/>
        <w:right w:val="none" w:sz="0" w:space="0" w:color="auto"/>
      </w:divBdr>
      <w:divsChild>
        <w:div w:id="2087142950">
          <w:marLeft w:val="0"/>
          <w:marRight w:val="0"/>
          <w:marTop w:val="0"/>
          <w:marBottom w:val="0"/>
          <w:divBdr>
            <w:top w:val="none" w:sz="0" w:space="0" w:color="auto"/>
            <w:left w:val="none" w:sz="0" w:space="0" w:color="auto"/>
            <w:bottom w:val="dotted" w:sz="24" w:space="0" w:color="auto"/>
            <w:right w:val="none" w:sz="0" w:space="0" w:color="auto"/>
          </w:divBdr>
        </w:div>
      </w:divsChild>
    </w:div>
    <w:div w:id="650913856">
      <w:bodyDiv w:val="1"/>
      <w:marLeft w:val="0"/>
      <w:marRight w:val="0"/>
      <w:marTop w:val="0"/>
      <w:marBottom w:val="0"/>
      <w:divBdr>
        <w:top w:val="none" w:sz="0" w:space="0" w:color="auto"/>
        <w:left w:val="none" w:sz="0" w:space="0" w:color="auto"/>
        <w:bottom w:val="none" w:sz="0" w:space="0" w:color="auto"/>
        <w:right w:val="none" w:sz="0" w:space="0" w:color="auto"/>
      </w:divBdr>
    </w:div>
    <w:div w:id="982857173">
      <w:bodyDiv w:val="1"/>
      <w:marLeft w:val="0"/>
      <w:marRight w:val="0"/>
      <w:marTop w:val="0"/>
      <w:marBottom w:val="0"/>
      <w:divBdr>
        <w:top w:val="none" w:sz="0" w:space="0" w:color="auto"/>
        <w:left w:val="none" w:sz="0" w:space="0" w:color="auto"/>
        <w:bottom w:val="none" w:sz="0" w:space="0" w:color="auto"/>
        <w:right w:val="none" w:sz="0" w:space="0" w:color="auto"/>
      </w:divBdr>
    </w:div>
    <w:div w:id="18688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F51A-08C9-4F11-98C8-334AB2AB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2</cp:revision>
  <cp:lastPrinted>2011-11-21T15:36:00Z</cp:lastPrinted>
  <dcterms:created xsi:type="dcterms:W3CDTF">2011-12-27T17:03:00Z</dcterms:created>
  <dcterms:modified xsi:type="dcterms:W3CDTF">2011-12-27T17:03:00Z</dcterms:modified>
</cp:coreProperties>
</file>